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1F" w:rsidRPr="00822A1F" w:rsidRDefault="00822A1F" w:rsidP="00822A1F">
      <w:pPr>
        <w:jc w:val="center"/>
        <w:rPr>
          <w:rFonts w:ascii="Arial" w:hAnsi="Arial" w:cs="Arial"/>
          <w:b/>
          <w:bCs/>
        </w:rPr>
      </w:pPr>
      <w:r w:rsidRPr="00822A1F">
        <w:rPr>
          <w:rFonts w:ascii="Arial" w:hAnsi="Arial" w:cs="Arial"/>
          <w:b/>
        </w:rPr>
        <w:t>ACESSO À JUSTIÇA: O ESTUDO DA ASSISTÊNCIA JUDICIÁRIA E DA GRATUIDADE JUDICIÁRIA</w:t>
      </w:r>
    </w:p>
    <w:p w:rsidR="00822A1F" w:rsidRPr="00822A1F" w:rsidRDefault="00822A1F" w:rsidP="00822A1F">
      <w:pPr>
        <w:jc w:val="center"/>
        <w:rPr>
          <w:rFonts w:ascii="Arial" w:hAnsi="Arial" w:cs="Arial"/>
          <w:b/>
        </w:rPr>
      </w:pPr>
    </w:p>
    <w:p w:rsidR="00822A1F" w:rsidRDefault="00822A1F" w:rsidP="00822A1F">
      <w:pPr>
        <w:jc w:val="center"/>
        <w:rPr>
          <w:rFonts w:ascii="Arial" w:hAnsi="Arial" w:cs="Arial"/>
        </w:rPr>
      </w:pPr>
      <w:r w:rsidRPr="00822A1F">
        <w:rPr>
          <w:rFonts w:ascii="Arial" w:hAnsi="Arial" w:cs="Arial"/>
        </w:rPr>
        <w:t>João Otávio Terceiro Neto Bernardo de Albuquerque</w:t>
      </w:r>
      <w:r>
        <w:rPr>
          <w:rFonts w:ascii="Arial" w:hAnsi="Arial" w:cs="Arial"/>
        </w:rPr>
        <w:t xml:space="preserve"> (monitor bolsista), </w:t>
      </w:r>
      <w:proofErr w:type="spellStart"/>
      <w:r w:rsidRPr="00822A1F">
        <w:rPr>
          <w:rFonts w:ascii="Arial" w:hAnsi="Arial" w:cs="Arial"/>
        </w:rPr>
        <w:t>Duina</w:t>
      </w:r>
      <w:proofErr w:type="spellEnd"/>
      <w:r w:rsidRPr="00822A1F">
        <w:rPr>
          <w:rFonts w:ascii="Arial" w:hAnsi="Arial" w:cs="Arial"/>
        </w:rPr>
        <w:t xml:space="preserve"> Porto Belo</w:t>
      </w:r>
      <w:r>
        <w:rPr>
          <w:rFonts w:ascii="Arial" w:hAnsi="Arial" w:cs="Arial"/>
        </w:rPr>
        <w:t xml:space="preserve"> (professora orientadora), </w:t>
      </w:r>
      <w:proofErr w:type="spellStart"/>
      <w:r w:rsidRPr="00822A1F">
        <w:rPr>
          <w:rFonts w:ascii="Arial" w:hAnsi="Arial" w:cs="Arial"/>
        </w:rPr>
        <w:t>Tatyane</w:t>
      </w:r>
      <w:proofErr w:type="spellEnd"/>
      <w:r w:rsidRPr="00822A1F">
        <w:rPr>
          <w:rFonts w:ascii="Arial" w:hAnsi="Arial" w:cs="Arial"/>
        </w:rPr>
        <w:t xml:space="preserve"> Guimarães Oliveira</w:t>
      </w:r>
      <w:r>
        <w:rPr>
          <w:rFonts w:ascii="Arial" w:hAnsi="Arial" w:cs="Arial"/>
        </w:rPr>
        <w:t xml:space="preserve"> (professora orientadora), e-mail: </w:t>
      </w:r>
      <w:proofErr w:type="gramStart"/>
      <w:r w:rsidRPr="00822A1F">
        <w:rPr>
          <w:rFonts w:ascii="Arial" w:hAnsi="Arial" w:cs="Arial"/>
        </w:rPr>
        <w:t>tatygut@gmail.com</w:t>
      </w:r>
      <w:proofErr w:type="gramEnd"/>
    </w:p>
    <w:p w:rsidR="00822A1F" w:rsidRDefault="00822A1F" w:rsidP="00822A1F">
      <w:pPr>
        <w:jc w:val="center"/>
        <w:rPr>
          <w:rFonts w:ascii="Arial" w:hAnsi="Arial" w:cs="Arial"/>
        </w:rPr>
      </w:pPr>
    </w:p>
    <w:p w:rsidR="00822A1F" w:rsidRPr="00822A1F" w:rsidRDefault="00822A1F" w:rsidP="00822A1F">
      <w:pPr>
        <w:jc w:val="center"/>
        <w:rPr>
          <w:rFonts w:ascii="Arial" w:hAnsi="Arial" w:cs="Arial"/>
        </w:rPr>
      </w:pPr>
      <w:r>
        <w:rPr>
          <w:rFonts w:ascii="Arial" w:hAnsi="Arial" w:cs="Arial"/>
        </w:rPr>
        <w:t>Universidade Federal da Paraíba, Centro de Ciências Jurídicas, Departamento de Ciências Jurídicas, João Pessoa/</w:t>
      </w:r>
      <w:proofErr w:type="gramStart"/>
      <w:r>
        <w:rPr>
          <w:rFonts w:ascii="Arial" w:hAnsi="Arial" w:cs="Arial"/>
        </w:rPr>
        <w:t>PB</w:t>
      </w:r>
      <w:proofErr w:type="gramEnd"/>
    </w:p>
    <w:p w:rsidR="00822A1F" w:rsidRPr="00822A1F" w:rsidRDefault="00822A1F" w:rsidP="00822A1F">
      <w:pPr>
        <w:jc w:val="right"/>
        <w:rPr>
          <w:rFonts w:ascii="Arial" w:hAnsi="Arial" w:cs="Arial"/>
        </w:rPr>
      </w:pPr>
    </w:p>
    <w:p w:rsidR="00822A1F" w:rsidRPr="00822A1F" w:rsidRDefault="00822A1F" w:rsidP="00822A1F">
      <w:pPr>
        <w:jc w:val="right"/>
        <w:rPr>
          <w:rFonts w:ascii="Arial" w:hAnsi="Arial" w:cs="Arial"/>
        </w:rPr>
      </w:pPr>
    </w:p>
    <w:p w:rsidR="00822A1F" w:rsidRDefault="00822A1F" w:rsidP="00822A1F">
      <w:pPr>
        <w:jc w:val="both"/>
        <w:rPr>
          <w:rFonts w:ascii="Arial" w:hAnsi="Arial" w:cs="Arial"/>
          <w:b/>
        </w:rPr>
      </w:pPr>
      <w:r>
        <w:rPr>
          <w:rFonts w:ascii="Arial" w:hAnsi="Arial" w:cs="Arial"/>
          <w:b/>
        </w:rPr>
        <w:t>Direito. Direito Processual Civil.</w:t>
      </w:r>
    </w:p>
    <w:p w:rsidR="00822A1F" w:rsidRDefault="00822A1F" w:rsidP="00822A1F">
      <w:pPr>
        <w:jc w:val="both"/>
        <w:rPr>
          <w:rFonts w:ascii="Arial" w:hAnsi="Arial" w:cs="Arial"/>
          <w:b/>
        </w:rPr>
      </w:pPr>
    </w:p>
    <w:p w:rsidR="00822A1F" w:rsidRPr="00822A1F" w:rsidRDefault="00822A1F" w:rsidP="00822A1F">
      <w:pPr>
        <w:jc w:val="both"/>
        <w:rPr>
          <w:rFonts w:ascii="Arial" w:hAnsi="Arial" w:cs="Arial"/>
        </w:rPr>
      </w:pPr>
      <w:r w:rsidRPr="00822A1F">
        <w:rPr>
          <w:rFonts w:ascii="Arial" w:hAnsi="Arial" w:cs="Arial"/>
          <w:b/>
        </w:rPr>
        <w:t xml:space="preserve">Palavras-chave: </w:t>
      </w:r>
      <w:r w:rsidRPr="00822A1F">
        <w:rPr>
          <w:rFonts w:ascii="Arial" w:hAnsi="Arial" w:cs="Arial"/>
        </w:rPr>
        <w:t xml:space="preserve">justiça; </w:t>
      </w:r>
      <w:r>
        <w:rPr>
          <w:rFonts w:ascii="Arial" w:hAnsi="Arial" w:cs="Arial"/>
        </w:rPr>
        <w:t>gratuidade</w:t>
      </w:r>
      <w:r w:rsidRPr="00822A1F">
        <w:rPr>
          <w:rFonts w:ascii="Arial" w:hAnsi="Arial" w:cs="Arial"/>
        </w:rPr>
        <w:t>; assistência.</w:t>
      </w:r>
    </w:p>
    <w:p w:rsidR="00822A1F" w:rsidRDefault="00822A1F" w:rsidP="00822A1F">
      <w:pPr>
        <w:rPr>
          <w:rFonts w:ascii="Arial" w:hAnsi="Arial" w:cs="Arial"/>
          <w:b/>
        </w:rPr>
      </w:pPr>
    </w:p>
    <w:p w:rsidR="00822A1F" w:rsidRDefault="00822A1F" w:rsidP="00822A1F">
      <w:pPr>
        <w:rPr>
          <w:rFonts w:ascii="Arial" w:hAnsi="Arial" w:cs="Arial"/>
          <w:b/>
        </w:rPr>
      </w:pPr>
      <w:r w:rsidRPr="00822A1F">
        <w:rPr>
          <w:rFonts w:ascii="Arial" w:hAnsi="Arial" w:cs="Arial"/>
          <w:b/>
        </w:rPr>
        <w:t>Resumo</w:t>
      </w:r>
      <w:r>
        <w:rPr>
          <w:rFonts w:ascii="Arial" w:hAnsi="Arial" w:cs="Arial"/>
          <w:b/>
        </w:rPr>
        <w:t>:</w:t>
      </w:r>
    </w:p>
    <w:p w:rsidR="00822A1F" w:rsidRPr="00822A1F" w:rsidRDefault="00822A1F" w:rsidP="00822A1F">
      <w:pPr>
        <w:rPr>
          <w:rFonts w:ascii="Arial" w:hAnsi="Arial" w:cs="Arial"/>
          <w:b/>
        </w:rPr>
      </w:pPr>
    </w:p>
    <w:p w:rsidR="008F7E41" w:rsidRPr="00822A1F" w:rsidRDefault="00822A1F" w:rsidP="00822A1F">
      <w:pPr>
        <w:ind w:firstLine="709"/>
        <w:jc w:val="both"/>
        <w:rPr>
          <w:rFonts w:ascii="Arial" w:hAnsi="Arial" w:cs="Arial"/>
        </w:rPr>
      </w:pPr>
      <w:r w:rsidRPr="00822A1F">
        <w:rPr>
          <w:rFonts w:ascii="Arial" w:hAnsi="Arial" w:cs="Arial"/>
        </w:rPr>
        <w:t xml:space="preserve">O presente relatório aborda a temática que foi o cerne da monitoria em Direito Processual Civil I, isto é, o estudo dos benefícios da assistência judiciária gratuita e da gratuidade </w:t>
      </w:r>
      <w:proofErr w:type="gramStart"/>
      <w:r w:rsidRPr="00822A1F">
        <w:rPr>
          <w:rFonts w:ascii="Arial" w:hAnsi="Arial" w:cs="Arial"/>
        </w:rPr>
        <w:t>judiciária (justiça gratuita), frequentemente confundidos pelos operadores do direito</w:t>
      </w:r>
      <w:proofErr w:type="gramEnd"/>
      <w:r w:rsidRPr="00822A1F">
        <w:rPr>
          <w:rFonts w:ascii="Arial" w:hAnsi="Arial" w:cs="Arial"/>
        </w:rPr>
        <w:t xml:space="preserve">. Apesar de o princípio da </w:t>
      </w:r>
      <w:proofErr w:type="spellStart"/>
      <w:r w:rsidRPr="00822A1F">
        <w:rPr>
          <w:rFonts w:ascii="Arial" w:hAnsi="Arial" w:cs="Arial"/>
        </w:rPr>
        <w:t>inafastabilidade</w:t>
      </w:r>
      <w:proofErr w:type="spellEnd"/>
      <w:r w:rsidRPr="00822A1F">
        <w:rPr>
          <w:rFonts w:ascii="Arial" w:hAnsi="Arial" w:cs="Arial"/>
        </w:rPr>
        <w:t xml:space="preserve"> do Poder Judiciário</w:t>
      </w:r>
      <w:r w:rsidR="008E5189">
        <w:rPr>
          <w:rFonts w:ascii="Arial" w:hAnsi="Arial" w:cs="Arial"/>
        </w:rPr>
        <w:t xml:space="preserve"> e do acesso à Justiça</w:t>
      </w:r>
      <w:r w:rsidRPr="00822A1F">
        <w:rPr>
          <w:rFonts w:ascii="Arial" w:hAnsi="Arial" w:cs="Arial"/>
        </w:rPr>
        <w:t xml:space="preserve"> (art. 5.º,</w:t>
      </w:r>
      <w:r w:rsidR="008E5189">
        <w:rPr>
          <w:rFonts w:ascii="Arial" w:hAnsi="Arial" w:cs="Arial"/>
        </w:rPr>
        <w:t xml:space="preserve"> XXXV</w:t>
      </w:r>
      <w:r w:rsidRPr="00822A1F">
        <w:rPr>
          <w:rFonts w:ascii="Arial" w:hAnsi="Arial" w:cs="Arial"/>
        </w:rPr>
        <w:t>, da Constituição Federal) ser</w:t>
      </w:r>
      <w:r w:rsidR="008E5189">
        <w:rPr>
          <w:rFonts w:ascii="Arial" w:hAnsi="Arial" w:cs="Arial"/>
        </w:rPr>
        <w:t>em</w:t>
      </w:r>
      <w:r w:rsidRPr="00822A1F">
        <w:rPr>
          <w:rFonts w:ascii="Arial" w:hAnsi="Arial" w:cs="Arial"/>
        </w:rPr>
        <w:t xml:space="preserve"> frequentemente estudado</w:t>
      </w:r>
      <w:r w:rsidR="008E5189">
        <w:rPr>
          <w:rFonts w:ascii="Arial" w:hAnsi="Arial" w:cs="Arial"/>
        </w:rPr>
        <w:t>s</w:t>
      </w:r>
      <w:r w:rsidRPr="00822A1F">
        <w:rPr>
          <w:rFonts w:ascii="Arial" w:hAnsi="Arial" w:cs="Arial"/>
        </w:rPr>
        <w:t xml:space="preserve"> nas disciplinas de Direito Constitucional e Direitos Humanos, os dois institutos referidos, que são formas de efetivação do acesso à Justiça, não são explorados satisfatoriamente quando do estudo do Direito Processual Civil. Assim, a monitoria objetivou, através do método teórico-bibliográfico, incentivar o estudo desses dois institutos jurídicos, que representam a aplicação prática do princípio do acesso à Justiça.</w:t>
      </w:r>
    </w:p>
    <w:p w:rsidR="00822A1F" w:rsidRDefault="00822A1F" w:rsidP="00822A1F">
      <w:pPr>
        <w:rPr>
          <w:rFonts w:ascii="Arial" w:hAnsi="Arial" w:cs="Arial"/>
        </w:rPr>
      </w:pPr>
    </w:p>
    <w:p w:rsidR="00822A1F" w:rsidRPr="00822A1F" w:rsidRDefault="00822A1F" w:rsidP="00822A1F">
      <w:pPr>
        <w:rPr>
          <w:rFonts w:ascii="Arial" w:hAnsi="Arial" w:cs="Arial"/>
        </w:rPr>
      </w:pPr>
    </w:p>
    <w:p w:rsidR="00822A1F" w:rsidRDefault="00822A1F" w:rsidP="00822A1F">
      <w:pPr>
        <w:jc w:val="both"/>
        <w:rPr>
          <w:rFonts w:ascii="Arial" w:hAnsi="Arial" w:cs="Arial"/>
          <w:b/>
        </w:rPr>
      </w:pPr>
      <w:r w:rsidRPr="00822A1F">
        <w:rPr>
          <w:rFonts w:ascii="Arial" w:hAnsi="Arial" w:cs="Arial"/>
          <w:b/>
        </w:rPr>
        <w:t>Introdução</w:t>
      </w:r>
    </w:p>
    <w:p w:rsidR="00822A1F" w:rsidRDefault="00822A1F" w:rsidP="00822A1F">
      <w:pPr>
        <w:jc w:val="both"/>
        <w:rPr>
          <w:rFonts w:ascii="Arial" w:hAnsi="Arial" w:cs="Arial"/>
          <w:b/>
        </w:rPr>
      </w:pPr>
    </w:p>
    <w:p w:rsidR="008E5189" w:rsidRDefault="008E5189" w:rsidP="006675BA">
      <w:pPr>
        <w:ind w:firstLine="709"/>
        <w:jc w:val="both"/>
        <w:rPr>
          <w:rFonts w:ascii="Arial" w:hAnsi="Arial" w:cs="Arial"/>
        </w:rPr>
      </w:pPr>
      <w:r>
        <w:rPr>
          <w:rFonts w:ascii="Arial" w:hAnsi="Arial" w:cs="Arial"/>
        </w:rPr>
        <w:t xml:space="preserve">O acesso à Justiça é garantia fundamental prevista no art. 5.º, XXXV, da Constituição. Segundo Luiz Guilherme </w:t>
      </w:r>
      <w:proofErr w:type="spellStart"/>
      <w:r>
        <w:rPr>
          <w:rFonts w:ascii="Arial" w:hAnsi="Arial" w:cs="Arial"/>
        </w:rPr>
        <w:t>Marinoni</w:t>
      </w:r>
      <w:proofErr w:type="spellEnd"/>
      <w:r>
        <w:rPr>
          <w:rFonts w:ascii="Arial" w:hAnsi="Arial" w:cs="Arial"/>
        </w:rPr>
        <w:t>, isso significa “acesso a um processo justo, a garantia de acesso a uma justiça imparcial, que não só possibilite a participação efetiva e adequada das partes no processo jurisdicional, mas que também permita a efetividade da tutela dos direitos, consideradas as diferentes posições sociais e as específicas situações de direito substancial</w:t>
      </w:r>
      <w:proofErr w:type="gramStart"/>
      <w:r>
        <w:rPr>
          <w:rFonts w:ascii="Arial" w:hAnsi="Arial" w:cs="Arial"/>
        </w:rPr>
        <w:t>”</w:t>
      </w:r>
      <w:proofErr w:type="gramEnd"/>
      <w:r>
        <w:rPr>
          <w:rStyle w:val="Refdenotaderodap"/>
          <w:rFonts w:ascii="Arial" w:hAnsi="Arial" w:cs="Arial"/>
        </w:rPr>
        <w:footnoteReference w:id="1"/>
      </w:r>
      <w:r>
        <w:rPr>
          <w:rFonts w:ascii="Arial" w:hAnsi="Arial" w:cs="Arial"/>
        </w:rPr>
        <w:t>.</w:t>
      </w:r>
    </w:p>
    <w:p w:rsidR="002B45A1" w:rsidRDefault="002B45A1" w:rsidP="006675BA">
      <w:pPr>
        <w:ind w:firstLine="709"/>
        <w:jc w:val="both"/>
        <w:rPr>
          <w:rFonts w:ascii="Arial" w:hAnsi="Arial" w:cs="Arial"/>
        </w:rPr>
      </w:pPr>
    </w:p>
    <w:p w:rsidR="008E5189" w:rsidRDefault="008E5189" w:rsidP="006675BA">
      <w:pPr>
        <w:ind w:firstLine="709"/>
        <w:jc w:val="both"/>
        <w:rPr>
          <w:rFonts w:ascii="Arial" w:hAnsi="Arial" w:cs="Arial"/>
        </w:rPr>
      </w:pPr>
      <w:r>
        <w:rPr>
          <w:rFonts w:ascii="Arial" w:hAnsi="Arial" w:cs="Arial"/>
        </w:rPr>
        <w:t xml:space="preserve">Ocorre que há inúmeros óbices que dificultam, senão </w:t>
      </w:r>
      <w:proofErr w:type="gramStart"/>
      <w:r>
        <w:rPr>
          <w:rFonts w:ascii="Arial" w:hAnsi="Arial" w:cs="Arial"/>
        </w:rPr>
        <w:t>impedem</w:t>
      </w:r>
      <w:proofErr w:type="gramEnd"/>
      <w:r>
        <w:rPr>
          <w:rFonts w:ascii="Arial" w:hAnsi="Arial" w:cs="Arial"/>
        </w:rPr>
        <w:t xml:space="preserve">, o livre acesso à Justiça, entre os quais </w:t>
      </w:r>
      <w:r w:rsidR="002B45A1">
        <w:rPr>
          <w:rFonts w:ascii="Arial" w:hAnsi="Arial" w:cs="Arial"/>
        </w:rPr>
        <w:t>se destaca o custo do processo, o que inclui não só as custas, mas também a contratação de advogados.</w:t>
      </w:r>
    </w:p>
    <w:p w:rsidR="002B45A1" w:rsidRDefault="002B45A1" w:rsidP="006675BA">
      <w:pPr>
        <w:ind w:firstLine="709"/>
        <w:jc w:val="both"/>
        <w:rPr>
          <w:rFonts w:ascii="Arial" w:hAnsi="Arial" w:cs="Arial"/>
        </w:rPr>
      </w:pPr>
    </w:p>
    <w:p w:rsidR="002B45A1" w:rsidRDefault="002B45A1" w:rsidP="006675BA">
      <w:pPr>
        <w:ind w:firstLine="709"/>
        <w:jc w:val="both"/>
        <w:rPr>
          <w:rFonts w:ascii="Arial" w:hAnsi="Arial" w:cs="Arial"/>
        </w:rPr>
      </w:pPr>
      <w:r>
        <w:rPr>
          <w:rFonts w:ascii="Arial" w:hAnsi="Arial" w:cs="Arial"/>
        </w:rPr>
        <w:t>Para garantir o acesso igualitário ao Judiciário, a Constituição, em seu art. 5.º, LXXIV, previu o direito à assistência jurídica integral e gratuita.</w:t>
      </w:r>
    </w:p>
    <w:p w:rsidR="002B45A1" w:rsidRDefault="002B45A1" w:rsidP="006675BA">
      <w:pPr>
        <w:ind w:firstLine="709"/>
        <w:jc w:val="both"/>
        <w:rPr>
          <w:rFonts w:ascii="Arial" w:hAnsi="Arial" w:cs="Arial"/>
        </w:rPr>
      </w:pPr>
    </w:p>
    <w:p w:rsidR="002B45A1" w:rsidRDefault="002B45A1" w:rsidP="006675BA">
      <w:pPr>
        <w:ind w:firstLine="709"/>
        <w:jc w:val="both"/>
        <w:rPr>
          <w:rFonts w:ascii="Arial" w:hAnsi="Arial" w:cs="Arial"/>
        </w:rPr>
      </w:pPr>
      <w:r>
        <w:rPr>
          <w:rFonts w:ascii="Arial" w:hAnsi="Arial" w:cs="Arial"/>
        </w:rPr>
        <w:lastRenderedPageBreak/>
        <w:t>Infraconstitucionalmente, a matéria é tratada pela Lei n.º 1.060/50, que se aplica não só ao processo civil, mas ao penal, ao trabalhista e ao administrativo</w:t>
      </w:r>
      <w:r>
        <w:rPr>
          <w:rStyle w:val="Refdenotaderodap"/>
          <w:rFonts w:ascii="Arial" w:hAnsi="Arial" w:cs="Arial"/>
        </w:rPr>
        <w:footnoteReference w:id="2"/>
      </w:r>
      <w:r>
        <w:rPr>
          <w:rFonts w:ascii="Arial" w:hAnsi="Arial" w:cs="Arial"/>
        </w:rPr>
        <w:t>.</w:t>
      </w:r>
    </w:p>
    <w:p w:rsidR="00A77DF5" w:rsidRDefault="00A77DF5" w:rsidP="00A77DF5">
      <w:pPr>
        <w:jc w:val="both"/>
        <w:rPr>
          <w:rFonts w:ascii="Arial" w:hAnsi="Arial" w:cs="Arial"/>
          <w:color w:val="000000"/>
          <w:shd w:val="clear" w:color="auto" w:fill="FFFFFF"/>
        </w:rPr>
      </w:pPr>
    </w:p>
    <w:p w:rsidR="00A77DF5" w:rsidRDefault="00A77DF5" w:rsidP="00A77DF5">
      <w:pPr>
        <w:jc w:val="both"/>
        <w:rPr>
          <w:rFonts w:ascii="Arial" w:hAnsi="Arial" w:cs="Arial"/>
          <w:b/>
          <w:color w:val="000000"/>
          <w:shd w:val="clear" w:color="auto" w:fill="FFFFFF"/>
        </w:rPr>
      </w:pPr>
      <w:r>
        <w:rPr>
          <w:rFonts w:ascii="Arial" w:hAnsi="Arial" w:cs="Arial"/>
          <w:b/>
          <w:color w:val="000000"/>
          <w:shd w:val="clear" w:color="auto" w:fill="FFFFFF"/>
        </w:rPr>
        <w:t>1. Objetivos</w:t>
      </w:r>
      <w:r w:rsidR="00BD3B03">
        <w:rPr>
          <w:rFonts w:ascii="Arial" w:hAnsi="Arial" w:cs="Arial"/>
          <w:b/>
          <w:color w:val="000000"/>
          <w:shd w:val="clear" w:color="auto" w:fill="FFFFFF"/>
        </w:rPr>
        <w:t>:</w:t>
      </w:r>
    </w:p>
    <w:p w:rsidR="00A77DF5" w:rsidRDefault="00A77DF5" w:rsidP="00A77DF5">
      <w:pPr>
        <w:jc w:val="both"/>
        <w:rPr>
          <w:rFonts w:ascii="Arial" w:hAnsi="Arial" w:cs="Arial"/>
          <w:b/>
          <w:color w:val="000000"/>
          <w:shd w:val="clear" w:color="auto" w:fill="FFFFFF"/>
        </w:rPr>
      </w:pPr>
    </w:p>
    <w:p w:rsidR="002B45A1" w:rsidRDefault="002B45A1" w:rsidP="00A77DF5">
      <w:pPr>
        <w:ind w:firstLine="709"/>
        <w:jc w:val="both"/>
        <w:rPr>
          <w:rFonts w:ascii="Arial" w:hAnsi="Arial" w:cs="Arial"/>
          <w:color w:val="000000"/>
          <w:shd w:val="clear" w:color="auto" w:fill="FFFFFF"/>
        </w:rPr>
      </w:pPr>
      <w:r>
        <w:rPr>
          <w:rFonts w:ascii="Arial" w:hAnsi="Arial" w:cs="Arial"/>
          <w:color w:val="000000"/>
          <w:shd w:val="clear" w:color="auto" w:fill="FFFFFF"/>
        </w:rPr>
        <w:t>Com dito, embora o princípio do acesso à Justiça seja amplamente debatido nas disciplinas de Direitos Humanos e de Direito Constitucional, o tratamento legal e o estudo da sua aplicabilidade na prática forense dificilmente é estudada pelo Direito Processual Civil, em nível de graduação.</w:t>
      </w:r>
    </w:p>
    <w:p w:rsidR="00BD3B03" w:rsidRDefault="00BD3B03" w:rsidP="00A77DF5">
      <w:pPr>
        <w:ind w:firstLine="709"/>
        <w:jc w:val="both"/>
        <w:rPr>
          <w:rFonts w:ascii="Arial" w:hAnsi="Arial" w:cs="Arial"/>
          <w:color w:val="000000"/>
          <w:shd w:val="clear" w:color="auto" w:fill="FFFFFF"/>
        </w:rPr>
      </w:pPr>
    </w:p>
    <w:p w:rsidR="002B45A1" w:rsidRDefault="002B45A1" w:rsidP="00A77DF5">
      <w:pPr>
        <w:ind w:firstLine="709"/>
        <w:jc w:val="both"/>
        <w:rPr>
          <w:rFonts w:ascii="Arial" w:hAnsi="Arial" w:cs="Arial"/>
          <w:color w:val="000000"/>
          <w:shd w:val="clear" w:color="auto" w:fill="FFFFFF"/>
        </w:rPr>
      </w:pPr>
      <w:r>
        <w:rPr>
          <w:rFonts w:ascii="Arial" w:hAnsi="Arial" w:cs="Arial"/>
          <w:color w:val="000000"/>
          <w:shd w:val="clear" w:color="auto" w:fill="FFFFFF"/>
        </w:rPr>
        <w:t>Assim, pretendeu-se explorar uma temática</w:t>
      </w:r>
      <w:r w:rsidR="008C7FF4">
        <w:rPr>
          <w:rFonts w:ascii="Arial" w:hAnsi="Arial" w:cs="Arial"/>
          <w:color w:val="000000"/>
          <w:shd w:val="clear" w:color="auto" w:fill="FFFFFF"/>
        </w:rPr>
        <w:t xml:space="preserve"> que, apesar de importante e corriqueira, é olvidada em sua dimensão prática.</w:t>
      </w:r>
    </w:p>
    <w:p w:rsidR="00BD3B03" w:rsidRDefault="00BD3B03" w:rsidP="00A77DF5">
      <w:pPr>
        <w:ind w:firstLine="709"/>
        <w:jc w:val="both"/>
        <w:rPr>
          <w:rFonts w:ascii="Arial" w:hAnsi="Arial" w:cs="Arial"/>
          <w:color w:val="000000"/>
          <w:shd w:val="clear" w:color="auto" w:fill="FFFFFF"/>
        </w:rPr>
      </w:pPr>
    </w:p>
    <w:p w:rsidR="008C7FF4" w:rsidRDefault="00B809D1" w:rsidP="00A77DF5">
      <w:pPr>
        <w:ind w:firstLine="709"/>
        <w:jc w:val="both"/>
        <w:rPr>
          <w:rFonts w:ascii="Arial" w:hAnsi="Arial" w:cs="Arial"/>
        </w:rPr>
      </w:pPr>
      <w:r>
        <w:rPr>
          <w:rFonts w:ascii="Arial" w:hAnsi="Arial" w:cs="Arial"/>
          <w:color w:val="000000"/>
          <w:shd w:val="clear" w:color="auto" w:fill="FFFFFF"/>
        </w:rPr>
        <w:t>Tradicionalmente, os t</w:t>
      </w:r>
      <w:r w:rsidR="008C7FF4">
        <w:rPr>
          <w:rFonts w:ascii="Arial" w:hAnsi="Arial" w:cs="Arial"/>
          <w:color w:val="000000"/>
          <w:shd w:val="clear" w:color="auto" w:fill="FFFFFF"/>
        </w:rPr>
        <w:t>ermos “assistência judiciária”,</w:t>
      </w:r>
      <w:r>
        <w:rPr>
          <w:rFonts w:ascii="Arial" w:hAnsi="Arial" w:cs="Arial"/>
          <w:color w:val="000000"/>
          <w:shd w:val="clear" w:color="auto" w:fill="FFFFFF"/>
        </w:rPr>
        <w:t xml:space="preserve"> “justiça gratuita”</w:t>
      </w:r>
      <w:r w:rsidR="008C7FF4">
        <w:rPr>
          <w:rFonts w:ascii="Arial" w:hAnsi="Arial" w:cs="Arial"/>
          <w:color w:val="000000"/>
          <w:shd w:val="clear" w:color="auto" w:fill="FFFFFF"/>
        </w:rPr>
        <w:t xml:space="preserve"> e “assistência jurídica”</w:t>
      </w:r>
      <w:r>
        <w:rPr>
          <w:rFonts w:ascii="Arial" w:hAnsi="Arial" w:cs="Arial"/>
          <w:color w:val="000000"/>
          <w:shd w:val="clear" w:color="auto" w:fill="FFFFFF"/>
        </w:rPr>
        <w:t xml:space="preserve"> são encarados como sinônimos pelos operadores do direito.</w:t>
      </w:r>
      <w:r w:rsidR="008C7FF4">
        <w:rPr>
          <w:rFonts w:ascii="Arial" w:hAnsi="Arial" w:cs="Arial"/>
          <w:color w:val="000000"/>
          <w:shd w:val="clear" w:color="auto" w:fill="FFFFFF"/>
        </w:rPr>
        <w:t xml:space="preserve"> </w:t>
      </w:r>
      <w:r>
        <w:rPr>
          <w:rFonts w:ascii="Arial" w:hAnsi="Arial" w:cs="Arial"/>
        </w:rPr>
        <w:t xml:space="preserve">Todavia, </w:t>
      </w:r>
      <w:r w:rsidR="008C7FF4">
        <w:rPr>
          <w:rFonts w:ascii="Arial" w:hAnsi="Arial" w:cs="Arial"/>
        </w:rPr>
        <w:t xml:space="preserve">como esclarecem </w:t>
      </w:r>
      <w:proofErr w:type="spellStart"/>
      <w:r w:rsidR="008C7FF4">
        <w:rPr>
          <w:rFonts w:ascii="Arial" w:hAnsi="Arial" w:cs="Arial"/>
        </w:rPr>
        <w:t>Fredie</w:t>
      </w:r>
      <w:proofErr w:type="spellEnd"/>
      <w:r w:rsidR="008C7FF4">
        <w:rPr>
          <w:rFonts w:ascii="Arial" w:hAnsi="Arial" w:cs="Arial"/>
        </w:rPr>
        <w:t xml:space="preserve"> Didier Jr. e Rafael Oliveira, são eles institutos distintos: </w:t>
      </w:r>
    </w:p>
    <w:p w:rsidR="008C7FF4" w:rsidRDefault="008C7FF4" w:rsidP="008C7FF4">
      <w:pPr>
        <w:ind w:left="2268"/>
        <w:jc w:val="both"/>
        <w:rPr>
          <w:rFonts w:ascii="Arial" w:hAnsi="Arial" w:cs="Arial"/>
        </w:rPr>
      </w:pPr>
    </w:p>
    <w:p w:rsidR="00B809D1" w:rsidRPr="008C7FF4" w:rsidRDefault="008C7FF4" w:rsidP="008C7FF4">
      <w:pPr>
        <w:ind w:left="2268"/>
        <w:jc w:val="both"/>
        <w:rPr>
          <w:rFonts w:ascii="Arial" w:hAnsi="Arial" w:cs="Arial"/>
          <w:sz w:val="20"/>
          <w:szCs w:val="20"/>
        </w:rPr>
      </w:pPr>
      <w:r w:rsidRPr="008C7FF4">
        <w:rPr>
          <w:rFonts w:ascii="Arial" w:hAnsi="Arial" w:cs="Arial"/>
          <w:sz w:val="20"/>
          <w:szCs w:val="20"/>
        </w:rPr>
        <w:t>“</w:t>
      </w:r>
      <w:proofErr w:type="gramStart"/>
      <w:r w:rsidRPr="008C7FF4">
        <w:rPr>
          <w:rFonts w:ascii="Arial" w:hAnsi="Arial" w:cs="Arial"/>
          <w:sz w:val="20"/>
          <w:szCs w:val="20"/>
        </w:rPr>
        <w:t>a)</w:t>
      </w:r>
      <w:proofErr w:type="gramEnd"/>
      <w:r w:rsidRPr="008C7FF4">
        <w:rPr>
          <w:rFonts w:ascii="Arial" w:hAnsi="Arial" w:cs="Arial"/>
          <w:sz w:val="20"/>
          <w:szCs w:val="20"/>
        </w:rPr>
        <w:t xml:space="preserve"> justiça gratuita, ou benefício da gratuidade, ou ainda gratuidade judiciária, consiste na dispensa da parte do adiantamento de todas as despesas, judiciais ou não, diretamente vinculadas ao processo, bem assim na dispensa do pagamento dos honorários de advogado;</w:t>
      </w:r>
    </w:p>
    <w:p w:rsidR="008C7FF4" w:rsidRDefault="008C7FF4" w:rsidP="008C7FF4">
      <w:pPr>
        <w:ind w:left="2268"/>
        <w:jc w:val="both"/>
        <w:rPr>
          <w:rFonts w:ascii="Arial" w:hAnsi="Arial" w:cs="Arial"/>
          <w:sz w:val="20"/>
          <w:szCs w:val="20"/>
        </w:rPr>
      </w:pPr>
      <w:r w:rsidRPr="008C7FF4">
        <w:rPr>
          <w:rFonts w:ascii="Arial" w:hAnsi="Arial" w:cs="Arial"/>
          <w:sz w:val="20"/>
          <w:szCs w:val="20"/>
        </w:rPr>
        <w:t>b) assistência judiciária é o patrocínio gratuito da causa por advogado público (ex.: defensor público</w:t>
      </w:r>
      <w:r>
        <w:rPr>
          <w:rFonts w:ascii="Arial" w:hAnsi="Arial" w:cs="Arial"/>
          <w:sz w:val="20"/>
          <w:szCs w:val="20"/>
        </w:rPr>
        <w:t>) ou particular (entidades conveniadas ou não com o Poder Público, como, por exemplo, os núcleos de prática jurídica das faculdades de direito</w:t>
      </w:r>
      <w:proofErr w:type="gramStart"/>
      <w:r>
        <w:rPr>
          <w:rFonts w:ascii="Arial" w:hAnsi="Arial" w:cs="Arial"/>
          <w:sz w:val="20"/>
          <w:szCs w:val="20"/>
        </w:rPr>
        <w:t>)</w:t>
      </w:r>
      <w:proofErr w:type="gramEnd"/>
    </w:p>
    <w:p w:rsidR="008C7FF4" w:rsidRPr="008C7FF4" w:rsidRDefault="008C7FF4" w:rsidP="008C7FF4">
      <w:pPr>
        <w:ind w:left="2268"/>
        <w:jc w:val="both"/>
        <w:rPr>
          <w:rFonts w:ascii="Arial" w:hAnsi="Arial" w:cs="Arial"/>
          <w:sz w:val="20"/>
          <w:szCs w:val="20"/>
        </w:rPr>
      </w:pPr>
      <w:r>
        <w:rPr>
          <w:rFonts w:ascii="Arial" w:hAnsi="Arial" w:cs="Arial"/>
          <w:sz w:val="20"/>
          <w:szCs w:val="20"/>
        </w:rPr>
        <w:t xml:space="preserve">c) assistência jurídica compreende, além do que já foi dito, a prestação de serviços jurídicos extrajudiciais (como, por exemplo, a distribuição, por órgão do Estado, de cartilha contendo os direitos básicos do consumidor) – trata-se, como se vê, de direito bem </w:t>
      </w:r>
      <w:proofErr w:type="gramStart"/>
      <w:r>
        <w:rPr>
          <w:rFonts w:ascii="Arial" w:hAnsi="Arial" w:cs="Arial"/>
          <w:sz w:val="20"/>
          <w:szCs w:val="20"/>
        </w:rPr>
        <w:t>abrange</w:t>
      </w:r>
      <w:r w:rsidR="00EA63FB">
        <w:rPr>
          <w:rFonts w:ascii="Arial" w:hAnsi="Arial" w:cs="Arial"/>
          <w:sz w:val="20"/>
          <w:szCs w:val="20"/>
        </w:rPr>
        <w:t>n</w:t>
      </w:r>
      <w:r>
        <w:rPr>
          <w:rFonts w:ascii="Arial" w:hAnsi="Arial" w:cs="Arial"/>
          <w:sz w:val="20"/>
          <w:szCs w:val="20"/>
        </w:rPr>
        <w:t>te”</w:t>
      </w:r>
      <w:proofErr w:type="gramEnd"/>
      <w:r w:rsidRPr="008C7FF4">
        <w:rPr>
          <w:rStyle w:val="Refdenotaderodap"/>
          <w:rFonts w:ascii="Arial" w:hAnsi="Arial" w:cs="Arial"/>
          <w:sz w:val="20"/>
          <w:szCs w:val="20"/>
        </w:rPr>
        <w:footnoteReference w:id="3"/>
      </w:r>
      <w:r>
        <w:rPr>
          <w:rFonts w:ascii="Arial" w:hAnsi="Arial" w:cs="Arial"/>
          <w:sz w:val="20"/>
          <w:szCs w:val="20"/>
        </w:rPr>
        <w:t>.</w:t>
      </w:r>
    </w:p>
    <w:p w:rsidR="006675BA" w:rsidRDefault="006675BA" w:rsidP="006675BA">
      <w:pPr>
        <w:jc w:val="both"/>
        <w:rPr>
          <w:rFonts w:ascii="Arial" w:hAnsi="Arial" w:cs="Arial"/>
        </w:rPr>
      </w:pPr>
    </w:p>
    <w:p w:rsidR="008C7FF4" w:rsidRDefault="00EA63FB" w:rsidP="008C7FF4">
      <w:pPr>
        <w:ind w:firstLine="709"/>
        <w:jc w:val="both"/>
        <w:rPr>
          <w:rFonts w:ascii="Arial" w:hAnsi="Arial" w:cs="Arial"/>
        </w:rPr>
      </w:pPr>
      <w:r>
        <w:rPr>
          <w:rFonts w:ascii="Arial" w:hAnsi="Arial" w:cs="Arial"/>
        </w:rPr>
        <w:t>Feitos esses esclarecimentos iniciais, foi possível explorar o tratamento constitucional e legal da matéria, desde a atuação judicial da Defensoria Pública até os requisitos e o procedimento para concessão, impugnação e revogação do benefício da gratuidade judiciária.</w:t>
      </w:r>
    </w:p>
    <w:p w:rsidR="00BD3B03" w:rsidRDefault="00BD3B03" w:rsidP="008C7FF4">
      <w:pPr>
        <w:ind w:firstLine="709"/>
        <w:jc w:val="both"/>
        <w:rPr>
          <w:rFonts w:ascii="Arial" w:hAnsi="Arial" w:cs="Arial"/>
        </w:rPr>
      </w:pPr>
    </w:p>
    <w:p w:rsidR="00EA63FB" w:rsidRDefault="00EA63FB" w:rsidP="008C7FF4">
      <w:pPr>
        <w:ind w:firstLine="709"/>
        <w:jc w:val="both"/>
        <w:rPr>
          <w:rFonts w:ascii="Arial" w:hAnsi="Arial" w:cs="Arial"/>
        </w:rPr>
      </w:pPr>
      <w:r>
        <w:rPr>
          <w:rFonts w:ascii="Arial" w:hAnsi="Arial" w:cs="Arial"/>
        </w:rPr>
        <w:t xml:space="preserve">Buscou-se, assim, realizar o estudo pragmático do acesso à Justiça, isto é, sua aplicação prática, sob as vertentes da assistência judiciária e da justiça gratuita, sem, por óbvio, afastar todo o arcabouço </w:t>
      </w:r>
      <w:proofErr w:type="spellStart"/>
      <w:r>
        <w:rPr>
          <w:rFonts w:ascii="Arial" w:hAnsi="Arial" w:cs="Arial"/>
        </w:rPr>
        <w:t>principiológico</w:t>
      </w:r>
      <w:proofErr w:type="spellEnd"/>
      <w:r>
        <w:rPr>
          <w:rFonts w:ascii="Arial" w:hAnsi="Arial" w:cs="Arial"/>
        </w:rPr>
        <w:t xml:space="preserve"> trabalhado no Direito Constitucional e nos Direitos Humanos, e sem o intuito de esgotar o tema, que engloba diversas outras matérias além das tratadas durante a monitoria.</w:t>
      </w:r>
    </w:p>
    <w:p w:rsidR="00EA63FB" w:rsidRDefault="00EA63FB" w:rsidP="00EA63FB">
      <w:pPr>
        <w:jc w:val="both"/>
        <w:rPr>
          <w:rFonts w:ascii="Arial" w:hAnsi="Arial" w:cs="Arial"/>
        </w:rPr>
      </w:pPr>
    </w:p>
    <w:p w:rsidR="00EA63FB" w:rsidRDefault="00EA63FB" w:rsidP="00EA63FB">
      <w:pPr>
        <w:jc w:val="both"/>
        <w:rPr>
          <w:rFonts w:ascii="Arial" w:hAnsi="Arial" w:cs="Arial"/>
          <w:b/>
        </w:rPr>
      </w:pPr>
      <w:r>
        <w:rPr>
          <w:rFonts w:ascii="Arial" w:hAnsi="Arial" w:cs="Arial"/>
          <w:b/>
        </w:rPr>
        <w:t>2. Discriminação metodológica</w:t>
      </w:r>
      <w:r w:rsidR="00BD3B03">
        <w:rPr>
          <w:rFonts w:ascii="Arial" w:hAnsi="Arial" w:cs="Arial"/>
          <w:b/>
        </w:rPr>
        <w:t>:</w:t>
      </w:r>
    </w:p>
    <w:p w:rsidR="00EA63FB" w:rsidRDefault="00EA63FB" w:rsidP="00EA63FB">
      <w:pPr>
        <w:jc w:val="both"/>
        <w:rPr>
          <w:rFonts w:ascii="Arial" w:hAnsi="Arial" w:cs="Arial"/>
          <w:b/>
        </w:rPr>
      </w:pPr>
    </w:p>
    <w:p w:rsidR="00EA63FB" w:rsidRDefault="00EA63FB" w:rsidP="00EA63FB">
      <w:pPr>
        <w:ind w:firstLine="709"/>
        <w:jc w:val="both"/>
        <w:rPr>
          <w:rFonts w:ascii="Arial" w:hAnsi="Arial" w:cs="Arial"/>
        </w:rPr>
      </w:pPr>
      <w:r>
        <w:rPr>
          <w:rFonts w:ascii="Arial" w:hAnsi="Arial" w:cs="Arial"/>
        </w:rPr>
        <w:t xml:space="preserve">O método utilizado foi o teórico-bibliográfico. Assim, através da pesquisa bibliográfica, legislativa e jurisprudencial, foi possível chegar à finalidade da </w:t>
      </w:r>
      <w:r>
        <w:rPr>
          <w:rFonts w:ascii="Arial" w:hAnsi="Arial" w:cs="Arial"/>
        </w:rPr>
        <w:lastRenderedPageBreak/>
        <w:t xml:space="preserve">monitoria: analisar o princípio do acesso à Justiça em duas de </w:t>
      </w:r>
      <w:r w:rsidR="00BD3B03">
        <w:rPr>
          <w:rFonts w:ascii="Arial" w:hAnsi="Arial" w:cs="Arial"/>
        </w:rPr>
        <w:t>suas dimensões práticas, quais sejam, a assistência e a gratuidade judiciárias.</w:t>
      </w:r>
    </w:p>
    <w:p w:rsidR="00BD3B03" w:rsidRDefault="00BD3B03" w:rsidP="00EA63FB">
      <w:pPr>
        <w:ind w:firstLine="709"/>
        <w:jc w:val="both"/>
        <w:rPr>
          <w:rFonts w:ascii="Arial" w:hAnsi="Arial" w:cs="Arial"/>
        </w:rPr>
      </w:pPr>
    </w:p>
    <w:p w:rsidR="00BD3B03" w:rsidRDefault="00BD3B03" w:rsidP="00EA63FB">
      <w:pPr>
        <w:ind w:firstLine="709"/>
        <w:jc w:val="both"/>
        <w:rPr>
          <w:rFonts w:ascii="Arial" w:hAnsi="Arial" w:cs="Arial"/>
        </w:rPr>
      </w:pPr>
      <w:r>
        <w:rPr>
          <w:rFonts w:ascii="Arial" w:hAnsi="Arial" w:cs="Arial"/>
        </w:rPr>
        <w:t>Além disso, aulas expositivas e a realização de exercícios foram essenciais à assimilação do conteúdo tratado.</w:t>
      </w:r>
    </w:p>
    <w:p w:rsidR="00BD3B03" w:rsidRDefault="00BD3B03" w:rsidP="00BD3B03">
      <w:pPr>
        <w:jc w:val="both"/>
        <w:rPr>
          <w:rFonts w:ascii="Arial" w:hAnsi="Arial" w:cs="Arial"/>
        </w:rPr>
      </w:pPr>
    </w:p>
    <w:p w:rsidR="00BD3B03" w:rsidRPr="00BD3B03" w:rsidRDefault="00BD3B03" w:rsidP="00BD3B03">
      <w:pPr>
        <w:jc w:val="both"/>
        <w:rPr>
          <w:rFonts w:ascii="Arial" w:hAnsi="Arial" w:cs="Arial"/>
          <w:b/>
        </w:rPr>
      </w:pPr>
      <w:r>
        <w:rPr>
          <w:rFonts w:ascii="Arial" w:hAnsi="Arial" w:cs="Arial"/>
          <w:b/>
        </w:rPr>
        <w:t>3. Avaliação:</w:t>
      </w:r>
    </w:p>
    <w:p w:rsidR="008C7FF4" w:rsidRPr="00BD3B03" w:rsidRDefault="008C7FF4" w:rsidP="00BD3B03">
      <w:pPr>
        <w:jc w:val="both"/>
        <w:rPr>
          <w:rFonts w:ascii="Arial" w:hAnsi="Arial" w:cs="Arial"/>
        </w:rPr>
      </w:pPr>
    </w:p>
    <w:p w:rsidR="00BD3B03" w:rsidRDefault="00BD3B03" w:rsidP="00BD3B03">
      <w:pPr>
        <w:ind w:firstLine="709"/>
        <w:jc w:val="both"/>
        <w:rPr>
          <w:rFonts w:ascii="Arial" w:hAnsi="Arial" w:cs="Arial"/>
        </w:rPr>
      </w:pPr>
      <w:r w:rsidRPr="00BD3B03">
        <w:rPr>
          <w:rFonts w:ascii="Arial" w:hAnsi="Arial" w:cs="Arial"/>
        </w:rPr>
        <w:t>A monitoria, apesar de ser atividade “apenas” complementar na graduação, constitui valiosa preparação para todo estudante que deseja tornar-se professor no futuro.</w:t>
      </w:r>
    </w:p>
    <w:p w:rsidR="00BD3B03" w:rsidRPr="00BD3B03" w:rsidRDefault="00BD3B03" w:rsidP="00BD3B03">
      <w:pPr>
        <w:ind w:firstLine="709"/>
        <w:jc w:val="both"/>
        <w:rPr>
          <w:rFonts w:ascii="Arial" w:hAnsi="Arial" w:cs="Arial"/>
        </w:rPr>
      </w:pPr>
    </w:p>
    <w:p w:rsidR="00BD3B03" w:rsidRDefault="00BD3B03" w:rsidP="00BD3B03">
      <w:pPr>
        <w:ind w:firstLine="709"/>
        <w:jc w:val="both"/>
        <w:rPr>
          <w:rFonts w:ascii="Arial" w:hAnsi="Arial" w:cs="Arial"/>
        </w:rPr>
      </w:pPr>
      <w:r w:rsidRPr="00BD3B03">
        <w:rPr>
          <w:rFonts w:ascii="Arial" w:hAnsi="Arial" w:cs="Arial"/>
        </w:rPr>
        <w:t>O aprendizado e</w:t>
      </w:r>
      <w:r>
        <w:rPr>
          <w:rFonts w:ascii="Arial" w:hAnsi="Arial" w:cs="Arial"/>
        </w:rPr>
        <w:t xml:space="preserve"> a experiência proporcionados ao </w:t>
      </w:r>
      <w:r w:rsidRPr="00BD3B03">
        <w:rPr>
          <w:rFonts w:ascii="Arial" w:hAnsi="Arial" w:cs="Arial"/>
        </w:rPr>
        <w:t xml:space="preserve">discente, durante as atividades, </w:t>
      </w:r>
      <w:r>
        <w:rPr>
          <w:rFonts w:ascii="Arial" w:hAnsi="Arial" w:cs="Arial"/>
        </w:rPr>
        <w:t>são</w:t>
      </w:r>
      <w:r w:rsidRPr="00BD3B03">
        <w:rPr>
          <w:rFonts w:ascii="Arial" w:hAnsi="Arial" w:cs="Arial"/>
        </w:rPr>
        <w:t>, de fato, imensuráveis.</w:t>
      </w:r>
    </w:p>
    <w:p w:rsidR="00BD3B03" w:rsidRDefault="00BD3B03" w:rsidP="00BD3B03">
      <w:pPr>
        <w:ind w:firstLine="709"/>
        <w:jc w:val="both"/>
        <w:rPr>
          <w:rFonts w:ascii="Arial" w:hAnsi="Arial" w:cs="Arial"/>
        </w:rPr>
      </w:pPr>
    </w:p>
    <w:p w:rsidR="00BD3B03" w:rsidRDefault="00BD3B03" w:rsidP="00BD3B03">
      <w:pPr>
        <w:ind w:firstLine="709"/>
        <w:jc w:val="both"/>
        <w:rPr>
          <w:rFonts w:ascii="Arial" w:hAnsi="Arial" w:cs="Arial"/>
        </w:rPr>
      </w:pPr>
      <w:r w:rsidRPr="00BD3B03">
        <w:rPr>
          <w:rFonts w:ascii="Arial" w:hAnsi="Arial" w:cs="Arial"/>
        </w:rPr>
        <w:t>Tal atividade permite</w:t>
      </w:r>
      <w:r>
        <w:rPr>
          <w:rFonts w:ascii="Arial" w:hAnsi="Arial" w:cs="Arial"/>
        </w:rPr>
        <w:t>,</w:t>
      </w:r>
      <w:r w:rsidRPr="00BD3B03">
        <w:rPr>
          <w:rFonts w:ascii="Arial" w:hAnsi="Arial" w:cs="Arial"/>
        </w:rPr>
        <w:t xml:space="preserve"> ao monitor</w:t>
      </w:r>
      <w:r>
        <w:rPr>
          <w:rFonts w:ascii="Arial" w:hAnsi="Arial" w:cs="Arial"/>
        </w:rPr>
        <w:t xml:space="preserve"> e aos alunos,</w:t>
      </w:r>
      <w:r w:rsidRPr="00BD3B03">
        <w:rPr>
          <w:rFonts w:ascii="Arial" w:hAnsi="Arial" w:cs="Arial"/>
        </w:rPr>
        <w:t xml:space="preserve"> ensinar</w:t>
      </w:r>
      <w:r>
        <w:rPr>
          <w:rFonts w:ascii="Arial" w:hAnsi="Arial" w:cs="Arial"/>
        </w:rPr>
        <w:t xml:space="preserve"> e </w:t>
      </w:r>
      <w:r w:rsidRPr="00BD3B03">
        <w:rPr>
          <w:rFonts w:ascii="Arial" w:hAnsi="Arial" w:cs="Arial"/>
        </w:rPr>
        <w:t>aprender bastante sobre a</w:t>
      </w:r>
      <w:r>
        <w:rPr>
          <w:rFonts w:ascii="Arial" w:hAnsi="Arial" w:cs="Arial"/>
        </w:rPr>
        <w:t>s</w:t>
      </w:r>
      <w:r w:rsidRPr="00BD3B03">
        <w:rPr>
          <w:rFonts w:ascii="Arial" w:hAnsi="Arial" w:cs="Arial"/>
        </w:rPr>
        <w:t xml:space="preserve"> matéria</w:t>
      </w:r>
      <w:r>
        <w:rPr>
          <w:rFonts w:ascii="Arial" w:hAnsi="Arial" w:cs="Arial"/>
        </w:rPr>
        <w:t>s</w:t>
      </w:r>
      <w:r w:rsidRPr="00BD3B03">
        <w:rPr>
          <w:rFonts w:ascii="Arial" w:hAnsi="Arial" w:cs="Arial"/>
        </w:rPr>
        <w:t xml:space="preserve"> </w:t>
      </w:r>
      <w:r>
        <w:rPr>
          <w:rFonts w:ascii="Arial" w:hAnsi="Arial" w:cs="Arial"/>
        </w:rPr>
        <w:t>tratadas em sala de aula.</w:t>
      </w:r>
    </w:p>
    <w:p w:rsidR="00BD3B03" w:rsidRDefault="00BD3B03" w:rsidP="00BD3B03">
      <w:pPr>
        <w:ind w:firstLine="709"/>
        <w:jc w:val="both"/>
        <w:rPr>
          <w:rFonts w:ascii="Arial" w:hAnsi="Arial" w:cs="Arial"/>
        </w:rPr>
      </w:pPr>
    </w:p>
    <w:p w:rsidR="00BD3B03" w:rsidRPr="00BD3B03" w:rsidRDefault="00BD3B03" w:rsidP="00BD3B03">
      <w:pPr>
        <w:ind w:firstLine="709"/>
        <w:jc w:val="both"/>
        <w:rPr>
          <w:rFonts w:ascii="Arial" w:hAnsi="Arial" w:cs="Arial"/>
        </w:rPr>
      </w:pPr>
      <w:proofErr w:type="gramStart"/>
      <w:r w:rsidRPr="00BD3B03">
        <w:rPr>
          <w:rFonts w:ascii="Arial" w:hAnsi="Arial" w:cs="Arial"/>
        </w:rPr>
        <w:t>Outrossim</w:t>
      </w:r>
      <w:proofErr w:type="gramEnd"/>
      <w:r w:rsidRPr="00BD3B03">
        <w:rPr>
          <w:rFonts w:ascii="Arial" w:hAnsi="Arial" w:cs="Arial"/>
        </w:rPr>
        <w:t>, do ponto de vista acadêmico, foi enorme o aproveitamento, tendo em vista que, para todas as atividades, foi necessário ao monitor aprofundar seus conhecimentos nos temas a serem tratados dentro e fora da sala de aula.</w:t>
      </w:r>
    </w:p>
    <w:p w:rsidR="00BD3B03" w:rsidRPr="00BD3B03" w:rsidRDefault="00BD3B03" w:rsidP="00BD3B03">
      <w:pPr>
        <w:ind w:firstLine="709"/>
        <w:jc w:val="both"/>
        <w:rPr>
          <w:rFonts w:ascii="Arial" w:hAnsi="Arial" w:cs="Arial"/>
        </w:rPr>
      </w:pPr>
    </w:p>
    <w:p w:rsidR="00BD3B03" w:rsidRDefault="00BD3B03" w:rsidP="00BD3B03">
      <w:pPr>
        <w:ind w:firstLine="709"/>
        <w:jc w:val="both"/>
        <w:rPr>
          <w:rFonts w:ascii="Arial" w:hAnsi="Arial" w:cs="Arial"/>
        </w:rPr>
      </w:pPr>
      <w:r w:rsidRPr="00BD3B03">
        <w:rPr>
          <w:rFonts w:ascii="Arial" w:hAnsi="Arial" w:cs="Arial"/>
        </w:rPr>
        <w:t>Assim, a monitoria mostrou-se, aos olhos deste graduando, exatamente o que parecia ser: um conjunto de atividades de iniciação à docência</w:t>
      </w:r>
      <w:r>
        <w:rPr>
          <w:rFonts w:ascii="Arial" w:hAnsi="Arial" w:cs="Arial"/>
        </w:rPr>
        <w:t>.</w:t>
      </w:r>
    </w:p>
    <w:p w:rsidR="00BD3B03" w:rsidRDefault="00BD3B03" w:rsidP="00BD3B03">
      <w:pPr>
        <w:jc w:val="both"/>
        <w:rPr>
          <w:rFonts w:ascii="Arial" w:hAnsi="Arial" w:cs="Arial"/>
        </w:rPr>
      </w:pPr>
    </w:p>
    <w:p w:rsidR="00BD3B03" w:rsidRDefault="00BD3B03" w:rsidP="00BD3B03">
      <w:pPr>
        <w:jc w:val="both"/>
        <w:rPr>
          <w:rFonts w:ascii="Arial" w:hAnsi="Arial" w:cs="Arial"/>
          <w:b/>
        </w:rPr>
      </w:pPr>
      <w:r>
        <w:rPr>
          <w:rFonts w:ascii="Arial" w:hAnsi="Arial" w:cs="Arial"/>
          <w:b/>
        </w:rPr>
        <w:t>Conclusão</w:t>
      </w:r>
    </w:p>
    <w:p w:rsidR="00BD3B03" w:rsidRDefault="00BD3B03" w:rsidP="00BD3B03">
      <w:pPr>
        <w:jc w:val="both"/>
        <w:rPr>
          <w:rFonts w:ascii="Arial" w:hAnsi="Arial" w:cs="Arial"/>
          <w:b/>
        </w:rPr>
      </w:pPr>
    </w:p>
    <w:p w:rsidR="00B73809" w:rsidRDefault="00BD3B03" w:rsidP="00BD3B03">
      <w:pPr>
        <w:ind w:firstLine="709"/>
        <w:jc w:val="both"/>
        <w:rPr>
          <w:rFonts w:ascii="Arial" w:hAnsi="Arial" w:cs="Arial"/>
        </w:rPr>
      </w:pPr>
      <w:r>
        <w:rPr>
          <w:rFonts w:ascii="Arial" w:hAnsi="Arial" w:cs="Arial"/>
        </w:rPr>
        <w:t>Diante do exposto,</w:t>
      </w:r>
      <w:r w:rsidR="00B73809">
        <w:rPr>
          <w:rFonts w:ascii="Arial" w:hAnsi="Arial" w:cs="Arial"/>
        </w:rPr>
        <w:t xml:space="preserve"> percebe-se que estudo dos institutos da assistência e da gratuidade judiciárias mostra-se imprescindível para a formação dos operadores do direito, independentemente de sua futura área de atuação, ante a sua relevância social.</w:t>
      </w:r>
    </w:p>
    <w:p w:rsidR="00B73809" w:rsidRDefault="00B73809" w:rsidP="00BD3B03">
      <w:pPr>
        <w:ind w:firstLine="709"/>
        <w:jc w:val="both"/>
        <w:rPr>
          <w:rFonts w:ascii="Arial" w:hAnsi="Arial" w:cs="Arial"/>
        </w:rPr>
      </w:pPr>
    </w:p>
    <w:p w:rsidR="00BD3B03" w:rsidRDefault="00B73809" w:rsidP="00BD3B03">
      <w:pPr>
        <w:ind w:firstLine="709"/>
        <w:jc w:val="both"/>
        <w:rPr>
          <w:rFonts w:ascii="Arial" w:hAnsi="Arial" w:cs="Arial"/>
        </w:rPr>
      </w:pPr>
      <w:r>
        <w:rPr>
          <w:rFonts w:ascii="Arial" w:hAnsi="Arial" w:cs="Arial"/>
        </w:rPr>
        <w:t>Portanto,</w:t>
      </w:r>
      <w:r w:rsidR="00BD3B03">
        <w:rPr>
          <w:rFonts w:ascii="Arial" w:hAnsi="Arial" w:cs="Arial"/>
        </w:rPr>
        <w:t xml:space="preserve"> foi possível realizar</w:t>
      </w:r>
      <w:r>
        <w:rPr>
          <w:rFonts w:ascii="Arial" w:hAnsi="Arial" w:cs="Arial"/>
        </w:rPr>
        <w:t xml:space="preserve"> a finalidade pretendida, ou seja,</w:t>
      </w:r>
      <w:r w:rsidR="00BD3B03">
        <w:rPr>
          <w:rFonts w:ascii="Arial" w:hAnsi="Arial" w:cs="Arial"/>
        </w:rPr>
        <w:t xml:space="preserve"> o estudo pragmático do acesso à Justiça, isto é, sua aplicação prática, sob as vertentes da assistência judiciária e da justiça gratuita, sem, por óbvio, afastar todo o arcabouço </w:t>
      </w:r>
      <w:proofErr w:type="spellStart"/>
      <w:r w:rsidR="00BD3B03">
        <w:rPr>
          <w:rFonts w:ascii="Arial" w:hAnsi="Arial" w:cs="Arial"/>
        </w:rPr>
        <w:t>principiológico</w:t>
      </w:r>
      <w:proofErr w:type="spellEnd"/>
      <w:r w:rsidR="00BD3B03">
        <w:rPr>
          <w:rFonts w:ascii="Arial" w:hAnsi="Arial" w:cs="Arial"/>
        </w:rPr>
        <w:t xml:space="preserve"> trabalhado no Direito Constitucional e nos Direitos Humanos, e sem o intuito de esgotar o tema, que engloba diversas outras matérias além das tratadas durante a monitoria.</w:t>
      </w:r>
    </w:p>
    <w:p w:rsidR="00BD3B03" w:rsidRPr="00BD3B03" w:rsidRDefault="00BD3B03" w:rsidP="00BD3B03">
      <w:pPr>
        <w:ind w:firstLine="709"/>
        <w:jc w:val="both"/>
        <w:rPr>
          <w:rFonts w:ascii="Arial" w:hAnsi="Arial" w:cs="Arial"/>
        </w:rPr>
      </w:pPr>
    </w:p>
    <w:p w:rsidR="006675BA" w:rsidRPr="006675BA" w:rsidRDefault="006675BA" w:rsidP="006675BA">
      <w:pPr>
        <w:jc w:val="both"/>
        <w:rPr>
          <w:rFonts w:ascii="Arial" w:hAnsi="Arial" w:cs="Arial"/>
          <w:b/>
        </w:rPr>
      </w:pPr>
      <w:r w:rsidRPr="006675BA">
        <w:rPr>
          <w:rFonts w:ascii="Arial" w:hAnsi="Arial" w:cs="Arial"/>
          <w:b/>
        </w:rPr>
        <w:t>Referências</w:t>
      </w:r>
    </w:p>
    <w:p w:rsidR="002B45A1" w:rsidRPr="00A77DF5" w:rsidRDefault="002B45A1" w:rsidP="006675BA">
      <w:pPr>
        <w:jc w:val="both"/>
        <w:rPr>
          <w:rFonts w:ascii="Arial" w:hAnsi="Arial" w:cs="Arial"/>
          <w:shd w:val="clear" w:color="auto" w:fill="FFFFFF"/>
        </w:rPr>
      </w:pPr>
    </w:p>
    <w:p w:rsidR="008C7FF4" w:rsidRDefault="008C7FF4" w:rsidP="008C7FF4">
      <w:pPr>
        <w:jc w:val="both"/>
        <w:rPr>
          <w:rFonts w:ascii="Arial" w:hAnsi="Arial" w:cs="Arial"/>
        </w:rPr>
      </w:pPr>
      <w:r w:rsidRPr="00A77DF5">
        <w:rPr>
          <w:rFonts w:ascii="Arial" w:hAnsi="Arial" w:cs="Arial"/>
        </w:rPr>
        <w:t xml:space="preserve">DIDIER JR., </w:t>
      </w:r>
      <w:proofErr w:type="spellStart"/>
      <w:r w:rsidRPr="00A77DF5">
        <w:rPr>
          <w:rFonts w:ascii="Arial" w:hAnsi="Arial" w:cs="Arial"/>
        </w:rPr>
        <w:t>Fredie</w:t>
      </w:r>
      <w:proofErr w:type="spellEnd"/>
      <w:r w:rsidRPr="00A77DF5">
        <w:rPr>
          <w:rFonts w:ascii="Arial" w:hAnsi="Arial" w:cs="Arial"/>
        </w:rPr>
        <w:t xml:space="preserve">; OLIVEIRA, Rafael. </w:t>
      </w:r>
      <w:r w:rsidRPr="00A77DF5">
        <w:rPr>
          <w:rFonts w:ascii="Arial" w:hAnsi="Arial" w:cs="Arial"/>
          <w:b/>
        </w:rPr>
        <w:t>Benefício da justiça gratuita</w:t>
      </w:r>
      <w:r w:rsidRPr="00A77DF5">
        <w:rPr>
          <w:rFonts w:ascii="Arial" w:hAnsi="Arial" w:cs="Arial"/>
        </w:rPr>
        <w:t xml:space="preserve">. </w:t>
      </w:r>
      <w:proofErr w:type="gramStart"/>
      <w:r w:rsidRPr="00A77DF5">
        <w:rPr>
          <w:rFonts w:ascii="Arial" w:hAnsi="Arial" w:cs="Arial"/>
        </w:rPr>
        <w:t>5</w:t>
      </w:r>
      <w:proofErr w:type="gramEnd"/>
      <w:r w:rsidRPr="00A77DF5">
        <w:rPr>
          <w:rFonts w:ascii="Arial" w:hAnsi="Arial" w:cs="Arial"/>
        </w:rPr>
        <w:t xml:space="preserve"> ed. Salvador: </w:t>
      </w:r>
      <w:proofErr w:type="spellStart"/>
      <w:r w:rsidRPr="00A77DF5">
        <w:rPr>
          <w:rFonts w:ascii="Arial" w:hAnsi="Arial" w:cs="Arial"/>
          <w:i/>
        </w:rPr>
        <w:t>Jus</w:t>
      </w:r>
      <w:r w:rsidRPr="00A77DF5">
        <w:rPr>
          <w:rFonts w:ascii="Arial" w:hAnsi="Arial" w:cs="Arial"/>
        </w:rPr>
        <w:t>PODIVM</w:t>
      </w:r>
      <w:proofErr w:type="spellEnd"/>
      <w:r w:rsidRPr="00A77DF5">
        <w:rPr>
          <w:rFonts w:ascii="Arial" w:hAnsi="Arial" w:cs="Arial"/>
        </w:rPr>
        <w:t>, 2012.</w:t>
      </w:r>
    </w:p>
    <w:p w:rsidR="008C7FF4" w:rsidRDefault="008C7FF4" w:rsidP="008C7FF4">
      <w:pPr>
        <w:jc w:val="both"/>
        <w:rPr>
          <w:rFonts w:ascii="Arial" w:hAnsi="Arial" w:cs="Arial"/>
        </w:rPr>
      </w:pPr>
    </w:p>
    <w:p w:rsidR="008C7FF4" w:rsidRPr="00A77DF5" w:rsidRDefault="008C7FF4">
      <w:pPr>
        <w:jc w:val="both"/>
        <w:rPr>
          <w:rFonts w:ascii="Arial" w:hAnsi="Arial" w:cs="Arial"/>
        </w:rPr>
      </w:pPr>
      <w:r w:rsidRPr="008E5189">
        <w:rPr>
          <w:rFonts w:ascii="Arial" w:hAnsi="Arial" w:cs="Arial"/>
        </w:rPr>
        <w:t xml:space="preserve">MARINONI, Luiz Guilherme. </w:t>
      </w:r>
      <w:r w:rsidRPr="008E5189">
        <w:rPr>
          <w:rFonts w:ascii="Arial" w:hAnsi="Arial" w:cs="Arial"/>
          <w:b/>
        </w:rPr>
        <w:t>Novas linhas do processo civil</w:t>
      </w:r>
      <w:r w:rsidRPr="008E5189">
        <w:rPr>
          <w:rFonts w:ascii="Arial" w:hAnsi="Arial" w:cs="Arial"/>
        </w:rPr>
        <w:t xml:space="preserve">. </w:t>
      </w:r>
      <w:proofErr w:type="gramStart"/>
      <w:r w:rsidRPr="008E5189">
        <w:rPr>
          <w:rFonts w:ascii="Arial" w:hAnsi="Arial" w:cs="Arial"/>
        </w:rPr>
        <w:t>3</w:t>
      </w:r>
      <w:proofErr w:type="gramEnd"/>
      <w:r w:rsidRPr="008E5189">
        <w:rPr>
          <w:rFonts w:ascii="Arial" w:hAnsi="Arial" w:cs="Arial"/>
        </w:rPr>
        <w:t xml:space="preserve"> ed. São Paulo: Malheiros, 1999</w:t>
      </w:r>
      <w:r>
        <w:rPr>
          <w:rFonts w:ascii="Arial" w:hAnsi="Arial" w:cs="Arial"/>
        </w:rPr>
        <w:t>.</w:t>
      </w:r>
    </w:p>
    <w:sectPr w:rsidR="008C7FF4" w:rsidRPr="00A77DF5" w:rsidSect="008F7E4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B03" w:rsidRDefault="00BD3B03" w:rsidP="00822A1F">
      <w:r>
        <w:separator/>
      </w:r>
    </w:p>
  </w:endnote>
  <w:endnote w:type="continuationSeparator" w:id="0">
    <w:p w:rsidR="00BD3B03" w:rsidRDefault="00BD3B03" w:rsidP="00822A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B03" w:rsidRDefault="00BD3B03" w:rsidP="00822A1F">
      <w:r>
        <w:separator/>
      </w:r>
    </w:p>
  </w:footnote>
  <w:footnote w:type="continuationSeparator" w:id="0">
    <w:p w:rsidR="00BD3B03" w:rsidRDefault="00BD3B03" w:rsidP="00822A1F">
      <w:r>
        <w:continuationSeparator/>
      </w:r>
    </w:p>
  </w:footnote>
  <w:footnote w:id="1">
    <w:p w:rsidR="00BD3B03" w:rsidRPr="008E5189" w:rsidRDefault="00BD3B03">
      <w:pPr>
        <w:pStyle w:val="Textodenotaderodap"/>
        <w:rPr>
          <w:rFonts w:ascii="Arial" w:hAnsi="Arial" w:cs="Arial"/>
        </w:rPr>
      </w:pPr>
      <w:r w:rsidRPr="008E5189">
        <w:rPr>
          <w:rStyle w:val="Refdenotaderodap"/>
          <w:rFonts w:ascii="Arial" w:hAnsi="Arial" w:cs="Arial"/>
        </w:rPr>
        <w:footnoteRef/>
      </w:r>
      <w:r w:rsidRPr="008E5189">
        <w:rPr>
          <w:rFonts w:ascii="Arial" w:hAnsi="Arial" w:cs="Arial"/>
        </w:rPr>
        <w:t xml:space="preserve"> MARINONI, Luiz Guilherme. </w:t>
      </w:r>
      <w:r w:rsidRPr="008E5189">
        <w:rPr>
          <w:rFonts w:ascii="Arial" w:hAnsi="Arial" w:cs="Arial"/>
          <w:b/>
        </w:rPr>
        <w:t>Novas linhas do processo civil</w:t>
      </w:r>
      <w:r w:rsidRPr="008E5189">
        <w:rPr>
          <w:rFonts w:ascii="Arial" w:hAnsi="Arial" w:cs="Arial"/>
        </w:rPr>
        <w:t xml:space="preserve">. </w:t>
      </w:r>
      <w:proofErr w:type="gramStart"/>
      <w:r w:rsidRPr="008E5189">
        <w:rPr>
          <w:rFonts w:ascii="Arial" w:hAnsi="Arial" w:cs="Arial"/>
        </w:rPr>
        <w:t>3</w:t>
      </w:r>
      <w:proofErr w:type="gramEnd"/>
      <w:r w:rsidRPr="008E5189">
        <w:rPr>
          <w:rFonts w:ascii="Arial" w:hAnsi="Arial" w:cs="Arial"/>
        </w:rPr>
        <w:t xml:space="preserve"> ed. São Paulo: Malheiros, 1999, p. 28.</w:t>
      </w:r>
    </w:p>
  </w:footnote>
  <w:footnote w:id="2">
    <w:p w:rsidR="00BD3B03" w:rsidRPr="002B45A1" w:rsidRDefault="00BD3B03" w:rsidP="002B45A1">
      <w:pPr>
        <w:pStyle w:val="Textodenotaderodap"/>
        <w:jc w:val="both"/>
        <w:rPr>
          <w:rFonts w:ascii="Arial" w:hAnsi="Arial" w:cs="Arial"/>
          <w:b/>
        </w:rPr>
      </w:pPr>
      <w:r w:rsidRPr="002B45A1">
        <w:rPr>
          <w:rStyle w:val="Refdenotaderodap"/>
          <w:rFonts w:ascii="Arial" w:hAnsi="Arial" w:cs="Arial"/>
        </w:rPr>
        <w:footnoteRef/>
      </w:r>
      <w:r w:rsidRPr="002B45A1">
        <w:rPr>
          <w:rFonts w:ascii="Arial" w:hAnsi="Arial" w:cs="Arial"/>
        </w:rPr>
        <w:t xml:space="preserve"> DIDIER JR., </w:t>
      </w:r>
      <w:proofErr w:type="spellStart"/>
      <w:r w:rsidRPr="002B45A1">
        <w:rPr>
          <w:rFonts w:ascii="Arial" w:hAnsi="Arial" w:cs="Arial"/>
        </w:rPr>
        <w:t>Fredie</w:t>
      </w:r>
      <w:proofErr w:type="spellEnd"/>
      <w:r w:rsidRPr="002B45A1">
        <w:rPr>
          <w:rFonts w:ascii="Arial" w:hAnsi="Arial" w:cs="Arial"/>
        </w:rPr>
        <w:t xml:space="preserve">; OLIVEIRA, Rafael. </w:t>
      </w:r>
      <w:r w:rsidRPr="002B45A1">
        <w:rPr>
          <w:rFonts w:ascii="Arial" w:hAnsi="Arial" w:cs="Arial"/>
          <w:b/>
        </w:rPr>
        <w:t>Benefício da justiça gratuita</w:t>
      </w:r>
      <w:r w:rsidRPr="002B45A1">
        <w:rPr>
          <w:rFonts w:ascii="Arial" w:hAnsi="Arial" w:cs="Arial"/>
        </w:rPr>
        <w:t xml:space="preserve">. </w:t>
      </w:r>
      <w:proofErr w:type="gramStart"/>
      <w:r w:rsidRPr="002B45A1">
        <w:rPr>
          <w:rFonts w:ascii="Arial" w:hAnsi="Arial" w:cs="Arial"/>
        </w:rPr>
        <w:t>5</w:t>
      </w:r>
      <w:proofErr w:type="gramEnd"/>
      <w:r w:rsidRPr="002B45A1">
        <w:rPr>
          <w:rFonts w:ascii="Arial" w:hAnsi="Arial" w:cs="Arial"/>
        </w:rPr>
        <w:t xml:space="preserve"> ed. Salvador: </w:t>
      </w:r>
      <w:proofErr w:type="spellStart"/>
      <w:r w:rsidRPr="002B45A1">
        <w:rPr>
          <w:rFonts w:ascii="Arial" w:hAnsi="Arial" w:cs="Arial"/>
          <w:i/>
        </w:rPr>
        <w:t>Jus</w:t>
      </w:r>
      <w:r w:rsidRPr="002B45A1">
        <w:rPr>
          <w:rFonts w:ascii="Arial" w:hAnsi="Arial" w:cs="Arial"/>
        </w:rPr>
        <w:t>PODIVM</w:t>
      </w:r>
      <w:proofErr w:type="spellEnd"/>
      <w:r w:rsidRPr="002B45A1">
        <w:rPr>
          <w:rFonts w:ascii="Arial" w:hAnsi="Arial" w:cs="Arial"/>
        </w:rPr>
        <w:t>, 2012</w:t>
      </w:r>
      <w:r>
        <w:rPr>
          <w:rFonts w:ascii="Arial" w:hAnsi="Arial" w:cs="Arial"/>
        </w:rPr>
        <w:t>, p. 11.</w:t>
      </w:r>
    </w:p>
  </w:footnote>
  <w:footnote w:id="3">
    <w:p w:rsidR="00BD3B03" w:rsidRPr="008C7FF4" w:rsidRDefault="00BD3B03" w:rsidP="008C7FF4">
      <w:pPr>
        <w:pStyle w:val="Textodenotaderodap"/>
        <w:rPr>
          <w:rFonts w:ascii="Arial" w:hAnsi="Arial" w:cs="Arial"/>
        </w:rPr>
      </w:pPr>
      <w:r w:rsidRPr="008C7FF4">
        <w:rPr>
          <w:rStyle w:val="Refdenotaderodap"/>
          <w:rFonts w:ascii="Arial" w:hAnsi="Arial" w:cs="Arial"/>
        </w:rPr>
        <w:footnoteRef/>
      </w:r>
      <w:r w:rsidRPr="008C7FF4">
        <w:rPr>
          <w:rFonts w:ascii="Arial" w:hAnsi="Arial" w:cs="Arial"/>
        </w:rPr>
        <w:t xml:space="preserve"> DIDIE</w:t>
      </w:r>
      <w:r>
        <w:rPr>
          <w:rFonts w:ascii="Arial" w:hAnsi="Arial" w:cs="Arial"/>
        </w:rPr>
        <w:t xml:space="preserve">R JR., </w:t>
      </w:r>
      <w:proofErr w:type="spellStart"/>
      <w:r>
        <w:rPr>
          <w:rFonts w:ascii="Arial" w:hAnsi="Arial" w:cs="Arial"/>
        </w:rPr>
        <w:t>Fredie</w:t>
      </w:r>
      <w:proofErr w:type="spellEnd"/>
      <w:r>
        <w:rPr>
          <w:rFonts w:ascii="Arial" w:hAnsi="Arial" w:cs="Arial"/>
        </w:rPr>
        <w:t>; OLIVEIRA, Rafael, op. cit., p. 11-12.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22A1F"/>
    <w:rsid w:val="002B45A1"/>
    <w:rsid w:val="005804F3"/>
    <w:rsid w:val="006675BA"/>
    <w:rsid w:val="00822A1F"/>
    <w:rsid w:val="008C7FF4"/>
    <w:rsid w:val="008E5189"/>
    <w:rsid w:val="008F7E41"/>
    <w:rsid w:val="00A77DF5"/>
    <w:rsid w:val="00B53020"/>
    <w:rsid w:val="00B73809"/>
    <w:rsid w:val="00B809D1"/>
    <w:rsid w:val="00BD3B03"/>
    <w:rsid w:val="00EA63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1F"/>
    <w:pPr>
      <w:suppressAutoHyphens/>
      <w:spacing w:after="0" w:line="240" w:lineRule="auto"/>
    </w:pPr>
    <w:rPr>
      <w:rFonts w:ascii="Times New Roman" w:eastAsia="Times New Roman" w:hAnsi="Times New Roman" w:cs="Calibri"/>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22A1F"/>
    <w:rPr>
      <w:sz w:val="20"/>
      <w:szCs w:val="20"/>
    </w:rPr>
  </w:style>
  <w:style w:type="character" w:customStyle="1" w:styleId="TextodenotaderodapChar">
    <w:name w:val="Texto de nota de rodapé Char"/>
    <w:basedOn w:val="Fontepargpadro"/>
    <w:link w:val="Textodenotaderodap"/>
    <w:uiPriority w:val="99"/>
    <w:semiHidden/>
    <w:rsid w:val="00822A1F"/>
    <w:rPr>
      <w:rFonts w:ascii="Times New Roman" w:eastAsia="Times New Roman" w:hAnsi="Times New Roman" w:cs="Calibri"/>
      <w:sz w:val="20"/>
      <w:szCs w:val="20"/>
      <w:lang w:eastAsia="ar-SA"/>
    </w:rPr>
  </w:style>
  <w:style w:type="character" w:styleId="Refdenotaderodap">
    <w:name w:val="footnote reference"/>
    <w:basedOn w:val="Fontepargpadro"/>
    <w:uiPriority w:val="99"/>
    <w:semiHidden/>
    <w:unhideWhenUsed/>
    <w:rsid w:val="00822A1F"/>
    <w:rPr>
      <w:vertAlign w:val="superscript"/>
    </w:rPr>
  </w:style>
  <w:style w:type="character" w:styleId="Hyperlink">
    <w:name w:val="Hyperlink"/>
    <w:basedOn w:val="Fontepargpadro"/>
    <w:uiPriority w:val="99"/>
    <w:unhideWhenUsed/>
    <w:rsid w:val="00822A1F"/>
    <w:rPr>
      <w:color w:val="0000FF" w:themeColor="hyperlink"/>
      <w:u w:val="single"/>
    </w:rPr>
  </w:style>
  <w:style w:type="character" w:customStyle="1" w:styleId="apple-converted-space">
    <w:name w:val="apple-converted-space"/>
    <w:basedOn w:val="Fontepargpadro"/>
    <w:rsid w:val="006675BA"/>
  </w:style>
  <w:style w:type="character" w:styleId="Forte">
    <w:name w:val="Strong"/>
    <w:basedOn w:val="Fontepargpadro"/>
    <w:uiPriority w:val="22"/>
    <w:qFormat/>
    <w:rsid w:val="006675BA"/>
    <w:rPr>
      <w:b/>
      <w:bCs/>
    </w:rPr>
  </w:style>
  <w:style w:type="character" w:customStyle="1" w:styleId="url">
    <w:name w:val="url"/>
    <w:basedOn w:val="Fontepargpadro"/>
    <w:rsid w:val="006675BA"/>
  </w:style>
  <w:style w:type="character" w:customStyle="1" w:styleId="timeaccess">
    <w:name w:val="timeaccess"/>
    <w:basedOn w:val="Fontepargpadro"/>
    <w:rsid w:val="006675BA"/>
  </w:style>
  <w:style w:type="paragraph" w:styleId="PargrafodaLista">
    <w:name w:val="List Paragraph"/>
    <w:basedOn w:val="Normal"/>
    <w:uiPriority w:val="34"/>
    <w:qFormat/>
    <w:rsid w:val="00A77D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C704F-C98B-46F9-ADD0-D5369D26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1028</Words>
  <Characters>5556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ReuniaoI</dc:creator>
  <cp:lastModifiedBy>ReuniaoI</cp:lastModifiedBy>
  <cp:revision>4</cp:revision>
  <dcterms:created xsi:type="dcterms:W3CDTF">2013-10-25T14:12:00Z</dcterms:created>
  <dcterms:modified xsi:type="dcterms:W3CDTF">2013-10-25T17:53:00Z</dcterms:modified>
</cp:coreProperties>
</file>